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59D" w:rsidRDefault="001E359D" w:rsidP="001E35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97E">
        <w:rPr>
          <w:rFonts w:ascii="Times New Roman" w:hAnsi="Times New Roman" w:cs="Times New Roman"/>
          <w:b/>
          <w:bCs/>
          <w:sz w:val="24"/>
          <w:szCs w:val="24"/>
        </w:rPr>
        <w:t>ANEXO II</w:t>
      </w:r>
    </w:p>
    <w:p w:rsidR="001E359D" w:rsidRDefault="001E359D" w:rsidP="001E359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ESPECIFICAÇÃO DA MONOGRAFIA PARA CHAMADA PÚBLICA DO INSUMO FARMACÊUTICO EXCIPIENTE</w:t>
      </w:r>
    </w:p>
    <w:p w:rsidR="001E359D" w:rsidRDefault="001E359D" w:rsidP="001E359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ACETONA</w:t>
      </w:r>
    </w:p>
    <w:p w:rsidR="001E359D" w:rsidRDefault="001E359D" w:rsidP="001E359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</w:rPr>
      </w:pPr>
    </w:p>
    <w:p w:rsidR="001E359D" w:rsidRPr="00FA08E6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color w:val="000000"/>
        </w:rPr>
      </w:pPr>
      <w:r w:rsidRPr="00E43A62">
        <w:rPr>
          <w:rFonts w:ascii="Arial" w:hAnsi="Arial" w:cs="Arial"/>
          <w:b/>
          <w:bCs/>
          <w:color w:val="000000"/>
        </w:rPr>
        <w:t xml:space="preserve">I - SINONÍMIA: </w:t>
      </w:r>
      <w:r w:rsidRPr="00FA08E6">
        <w:rPr>
          <w:rFonts w:ascii="Arial" w:hAnsi="Arial" w:cs="Arial"/>
          <w:bCs/>
          <w:color w:val="000000"/>
        </w:rPr>
        <w:t xml:space="preserve">2-Propanona. </w:t>
      </w: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</w:p>
    <w:p w:rsidR="001E359D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color w:val="000000"/>
        </w:rPr>
      </w:pPr>
      <w:r w:rsidRPr="00E43A62">
        <w:rPr>
          <w:rFonts w:ascii="Arial" w:hAnsi="Arial" w:cs="Arial"/>
          <w:b/>
          <w:bCs/>
          <w:color w:val="000000"/>
        </w:rPr>
        <w:t xml:space="preserve">II - FÓRMULA MOLECULAR: </w:t>
      </w:r>
      <w:r w:rsidRPr="00FA08E6">
        <w:rPr>
          <w:rFonts w:ascii="Arial" w:hAnsi="Arial" w:cs="Arial"/>
          <w:bCs/>
          <w:color w:val="000000"/>
        </w:rPr>
        <w:t>C</w:t>
      </w:r>
      <w:r w:rsidRPr="00FA08E6">
        <w:rPr>
          <w:rFonts w:ascii="Arial" w:hAnsi="Arial" w:cs="Arial"/>
          <w:bCs/>
          <w:color w:val="000000"/>
          <w:sz w:val="14"/>
          <w:szCs w:val="14"/>
        </w:rPr>
        <w:t>3</w:t>
      </w:r>
      <w:r w:rsidRPr="00FA08E6">
        <w:rPr>
          <w:rFonts w:ascii="Arial" w:hAnsi="Arial" w:cs="Arial"/>
          <w:bCs/>
          <w:color w:val="000000"/>
        </w:rPr>
        <w:t>H</w:t>
      </w:r>
      <w:r w:rsidRPr="00FA08E6">
        <w:rPr>
          <w:rFonts w:ascii="Arial" w:hAnsi="Arial" w:cs="Arial"/>
          <w:bCs/>
          <w:color w:val="000000"/>
          <w:sz w:val="14"/>
          <w:szCs w:val="14"/>
        </w:rPr>
        <w:t>6</w:t>
      </w:r>
      <w:r w:rsidRPr="00FA08E6">
        <w:rPr>
          <w:rFonts w:ascii="Arial" w:hAnsi="Arial" w:cs="Arial"/>
          <w:bCs/>
          <w:color w:val="000000"/>
        </w:rPr>
        <w:t xml:space="preserve">O. </w:t>
      </w: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</w:p>
    <w:p w:rsidR="001E359D" w:rsidRPr="00FA08E6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color w:val="000000"/>
        </w:rPr>
      </w:pPr>
      <w:r w:rsidRPr="00E43A62">
        <w:rPr>
          <w:rFonts w:ascii="Arial" w:hAnsi="Arial" w:cs="Arial"/>
          <w:b/>
          <w:bCs/>
          <w:color w:val="000000"/>
        </w:rPr>
        <w:t xml:space="preserve">III - PESO MOLECULAR: </w:t>
      </w:r>
      <w:r w:rsidRPr="00FA08E6">
        <w:rPr>
          <w:rFonts w:ascii="Arial" w:hAnsi="Arial" w:cs="Arial"/>
          <w:bCs/>
          <w:color w:val="000000"/>
        </w:rPr>
        <w:t xml:space="preserve">58,08. </w:t>
      </w: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</w:p>
    <w:p w:rsidR="001E359D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</w:rPr>
      </w:pPr>
      <w:r w:rsidRPr="00E43A62">
        <w:rPr>
          <w:rFonts w:ascii="Arial" w:hAnsi="Arial" w:cs="Arial"/>
          <w:b/>
          <w:bCs/>
          <w:color w:val="000000"/>
        </w:rPr>
        <w:t xml:space="preserve">IV - DCB: </w:t>
      </w:r>
      <w:r w:rsidRPr="00FA08E6">
        <w:rPr>
          <w:rFonts w:ascii="Arial" w:hAnsi="Arial" w:cs="Arial"/>
          <w:bCs/>
          <w:color w:val="000000"/>
        </w:rPr>
        <w:t>00078</w:t>
      </w:r>
      <w:r w:rsidRPr="00E43A62">
        <w:rPr>
          <w:rFonts w:ascii="Arial" w:hAnsi="Arial" w:cs="Arial"/>
          <w:b/>
          <w:bCs/>
          <w:color w:val="000000"/>
        </w:rPr>
        <w:t xml:space="preserve"> N° CAS: </w:t>
      </w:r>
      <w:r w:rsidRPr="00FA08E6">
        <w:rPr>
          <w:rFonts w:ascii="Arial" w:hAnsi="Arial" w:cs="Arial"/>
          <w:bCs/>
          <w:color w:val="000000"/>
        </w:rPr>
        <w:t>67-64-1</w:t>
      </w:r>
      <w:r w:rsidRPr="00E43A62">
        <w:rPr>
          <w:rFonts w:ascii="Arial" w:hAnsi="Arial" w:cs="Arial"/>
          <w:b/>
          <w:bCs/>
          <w:color w:val="000000"/>
        </w:rPr>
        <w:t xml:space="preserve"> </w:t>
      </w: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</w:p>
    <w:p w:rsidR="001E359D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</w:rPr>
      </w:pPr>
      <w:r w:rsidRPr="00E43A62">
        <w:rPr>
          <w:rFonts w:ascii="Arial" w:hAnsi="Arial" w:cs="Arial"/>
          <w:b/>
          <w:bCs/>
          <w:color w:val="000000"/>
        </w:rPr>
        <w:t xml:space="preserve">V - ESPECIFICAÇÃO E REFERÊNCIA BIBLIOGRÁFICA: </w:t>
      </w: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b/>
          <w:bCs/>
          <w:color w:val="000000"/>
        </w:rPr>
        <w:t xml:space="preserve">1. </w:t>
      </w:r>
      <w:r w:rsidRPr="00E43A62">
        <w:rPr>
          <w:rFonts w:ascii="Arial" w:hAnsi="Arial" w:cs="Arial"/>
          <w:color w:val="000000"/>
        </w:rPr>
        <w:t xml:space="preserve">DESCRIÇÃO: </w:t>
      </w:r>
      <w:r w:rsidRPr="00FA08E6">
        <w:rPr>
          <w:rFonts w:ascii="Arial" w:hAnsi="Arial" w:cs="Arial"/>
          <w:bCs/>
          <w:color w:val="000000"/>
        </w:rPr>
        <w:t xml:space="preserve">Líquido incolor, transparente, fluido, volátil e com odor característico. Uma solução (1 em 2) é neutra ao papel de tornassol. </w:t>
      </w:r>
    </w:p>
    <w:p w:rsidR="001E359D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 w:rsidRPr="00E43A62">
        <w:rPr>
          <w:rFonts w:ascii="Arial" w:hAnsi="Arial" w:cs="Arial"/>
          <w:i/>
          <w:iCs/>
          <w:color w:val="000000"/>
          <w:sz w:val="16"/>
          <w:szCs w:val="16"/>
        </w:rPr>
        <w:t xml:space="preserve">USP 42 – NF 37 - Reference Tables- Description and Solubility. </w:t>
      </w: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b/>
          <w:bCs/>
          <w:color w:val="000000"/>
        </w:rPr>
        <w:t xml:space="preserve">2. </w:t>
      </w:r>
      <w:r w:rsidRPr="00E43A62">
        <w:rPr>
          <w:rFonts w:ascii="Arial" w:hAnsi="Arial" w:cs="Arial"/>
          <w:color w:val="000000"/>
        </w:rPr>
        <w:t xml:space="preserve">SOLUBILIDADE: </w:t>
      </w:r>
      <w:r w:rsidRPr="00FA08E6">
        <w:rPr>
          <w:rFonts w:ascii="Arial" w:hAnsi="Arial" w:cs="Arial"/>
          <w:bCs/>
          <w:color w:val="000000"/>
        </w:rPr>
        <w:t xml:space="preserve">Miscível em água, álcool etílico, éter etílico, clorofórmio e com a maioria dos óleos voláteis. </w:t>
      </w:r>
    </w:p>
    <w:p w:rsidR="001E359D" w:rsidRPr="00FA08E6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color w:val="000000"/>
          <w:sz w:val="16"/>
          <w:szCs w:val="16"/>
          <w:lang w:val="en-US"/>
        </w:rPr>
      </w:pPr>
      <w:r w:rsidRPr="00FA08E6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USP 42 – NF 37 - Reference Tables- Description and Solubility. </w:t>
      </w:r>
    </w:p>
    <w:p w:rsidR="001E359D" w:rsidRPr="00FA08E6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16"/>
          <w:lang w:val="en-US"/>
        </w:rPr>
      </w:pP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b/>
          <w:bCs/>
          <w:color w:val="000000"/>
        </w:rPr>
        <w:t xml:space="preserve">3. </w:t>
      </w:r>
      <w:r w:rsidRPr="00E43A62">
        <w:rPr>
          <w:rFonts w:ascii="Arial" w:hAnsi="Arial" w:cs="Arial"/>
          <w:color w:val="000000"/>
        </w:rPr>
        <w:t xml:space="preserve">IDENTIFICAÇÃO: </w:t>
      </w:r>
    </w:p>
    <w:p w:rsidR="001E359D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color w:val="000000"/>
        </w:rPr>
      </w:pPr>
      <w:r w:rsidRPr="00E43A62">
        <w:rPr>
          <w:rFonts w:ascii="Arial" w:hAnsi="Arial" w:cs="Arial"/>
          <w:b/>
          <w:bCs/>
          <w:color w:val="000000"/>
        </w:rPr>
        <w:t xml:space="preserve">3.1. </w:t>
      </w:r>
      <w:r w:rsidRPr="00E43A62">
        <w:rPr>
          <w:rFonts w:ascii="Arial" w:hAnsi="Arial" w:cs="Arial"/>
          <w:color w:val="000000"/>
        </w:rPr>
        <w:t xml:space="preserve">A (Infravermelho): </w:t>
      </w:r>
      <w:r w:rsidRPr="00FA08E6">
        <w:rPr>
          <w:rFonts w:ascii="Arial" w:hAnsi="Arial" w:cs="Arial"/>
          <w:bCs/>
          <w:color w:val="000000"/>
        </w:rPr>
        <w:t xml:space="preserve">O espectro da amostra corresponde ao espectro do padrão obtido nas mesmas condições. </w:t>
      </w: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b/>
          <w:bCs/>
          <w:color w:val="000000"/>
        </w:rPr>
        <w:t xml:space="preserve">3.2. </w:t>
      </w:r>
      <w:r w:rsidRPr="00E43A62">
        <w:rPr>
          <w:rFonts w:ascii="Arial" w:hAnsi="Arial" w:cs="Arial"/>
          <w:color w:val="000000"/>
        </w:rPr>
        <w:t xml:space="preserve">B (Cromatografia Gasosa): </w:t>
      </w:r>
      <w:r w:rsidRPr="00FA08E6">
        <w:rPr>
          <w:rFonts w:ascii="Arial" w:hAnsi="Arial" w:cs="Arial"/>
          <w:bCs/>
          <w:color w:val="000000"/>
        </w:rPr>
        <w:t xml:space="preserve">O tempo de retenção do pico principal da amostra corresponde ao do pico principal do padrão, preparado similarmente, conforme teste de Teor. </w:t>
      </w:r>
    </w:p>
    <w:p w:rsidR="001E359D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 w:rsidRPr="00E43A62">
        <w:rPr>
          <w:rFonts w:ascii="Arial" w:hAnsi="Arial" w:cs="Arial"/>
          <w:i/>
          <w:iCs/>
          <w:color w:val="000000"/>
          <w:sz w:val="16"/>
          <w:szCs w:val="16"/>
        </w:rPr>
        <w:t xml:space="preserve">USP 42 – NF 37 - pág. 5554. </w:t>
      </w: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b/>
          <w:bCs/>
          <w:color w:val="000000"/>
        </w:rPr>
        <w:t xml:space="preserve">4. </w:t>
      </w:r>
      <w:r w:rsidRPr="00E43A62">
        <w:rPr>
          <w:rFonts w:ascii="Arial" w:hAnsi="Arial" w:cs="Arial"/>
          <w:color w:val="000000"/>
        </w:rPr>
        <w:t xml:space="preserve">GRAVIDADE ESPECÍFICA A 25ºC: </w:t>
      </w:r>
      <w:r w:rsidRPr="00FA08E6">
        <w:rPr>
          <w:rFonts w:ascii="Arial" w:hAnsi="Arial" w:cs="Arial"/>
          <w:bCs/>
          <w:color w:val="000000"/>
        </w:rPr>
        <w:t xml:space="preserve">Máximo 0,789. </w:t>
      </w:r>
    </w:p>
    <w:p w:rsidR="001E359D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 w:rsidRPr="00E43A62">
        <w:rPr>
          <w:rFonts w:ascii="Arial" w:hAnsi="Arial" w:cs="Arial"/>
          <w:i/>
          <w:iCs/>
          <w:color w:val="000000"/>
          <w:sz w:val="16"/>
          <w:szCs w:val="16"/>
        </w:rPr>
        <w:t xml:space="preserve">USP 42 – NF 37 - pág. 5554. </w:t>
      </w: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b/>
          <w:bCs/>
          <w:color w:val="000000"/>
        </w:rPr>
        <w:t xml:space="preserve">5. </w:t>
      </w:r>
      <w:r w:rsidRPr="00E43A62">
        <w:rPr>
          <w:rFonts w:ascii="Arial" w:hAnsi="Arial" w:cs="Arial"/>
          <w:color w:val="000000"/>
        </w:rPr>
        <w:t xml:space="preserve">TEOR DE ÁGUA: </w:t>
      </w:r>
      <w:r w:rsidRPr="00FA08E6">
        <w:rPr>
          <w:rFonts w:ascii="Arial" w:hAnsi="Arial" w:cs="Arial"/>
          <w:bCs/>
          <w:color w:val="000000"/>
        </w:rPr>
        <w:t xml:space="preserve">Máximo 0,5%. </w:t>
      </w:r>
    </w:p>
    <w:p w:rsidR="001E359D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 w:rsidRPr="00E43A62">
        <w:rPr>
          <w:rFonts w:ascii="Arial" w:hAnsi="Arial" w:cs="Arial"/>
          <w:i/>
          <w:iCs/>
          <w:color w:val="000000"/>
          <w:sz w:val="16"/>
          <w:szCs w:val="16"/>
        </w:rPr>
        <w:t xml:space="preserve">USP 42 – NF 37 - pág. 5554. </w:t>
      </w: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b/>
          <w:bCs/>
          <w:color w:val="000000"/>
        </w:rPr>
        <w:t xml:space="preserve">6. </w:t>
      </w:r>
      <w:r w:rsidRPr="00E43A62">
        <w:rPr>
          <w:rFonts w:ascii="Arial" w:hAnsi="Arial" w:cs="Arial"/>
          <w:color w:val="000000"/>
        </w:rPr>
        <w:t xml:space="preserve">RESÍDUO NÃO-VOLÁTIL: </w:t>
      </w:r>
      <w:r w:rsidRPr="00FA08E6">
        <w:rPr>
          <w:rFonts w:ascii="Arial" w:hAnsi="Arial" w:cs="Arial"/>
          <w:bCs/>
          <w:color w:val="000000"/>
        </w:rPr>
        <w:t xml:space="preserve">Máximo 0,004%. </w:t>
      </w:r>
    </w:p>
    <w:p w:rsidR="001E359D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 w:rsidRPr="00E43A62">
        <w:rPr>
          <w:rFonts w:ascii="Arial" w:hAnsi="Arial" w:cs="Arial"/>
          <w:i/>
          <w:iCs/>
          <w:color w:val="000000"/>
          <w:sz w:val="16"/>
          <w:szCs w:val="16"/>
        </w:rPr>
        <w:t xml:space="preserve">USP 42 – NF 37 - pág. 5554. </w:t>
      </w: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b/>
          <w:bCs/>
          <w:color w:val="000000"/>
        </w:rPr>
        <w:t xml:space="preserve">7. </w:t>
      </w:r>
      <w:r w:rsidRPr="00E43A62">
        <w:rPr>
          <w:rFonts w:ascii="Arial" w:hAnsi="Arial" w:cs="Arial"/>
          <w:color w:val="000000"/>
        </w:rPr>
        <w:t xml:space="preserve">SUBSTÂNCIAS FACILMENTE OXIDÁVEIS: </w:t>
      </w:r>
      <w:r w:rsidRPr="00FA08E6">
        <w:rPr>
          <w:rFonts w:ascii="Arial" w:hAnsi="Arial" w:cs="Arial"/>
          <w:bCs/>
          <w:color w:val="000000"/>
        </w:rPr>
        <w:t xml:space="preserve">Conforme. </w:t>
      </w:r>
    </w:p>
    <w:p w:rsidR="001E359D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color w:val="000000"/>
          <w:sz w:val="16"/>
          <w:szCs w:val="16"/>
        </w:rPr>
      </w:pPr>
      <w:r w:rsidRPr="00E43A62">
        <w:rPr>
          <w:rFonts w:ascii="Arial" w:hAnsi="Arial" w:cs="Arial"/>
          <w:i/>
          <w:iCs/>
          <w:color w:val="000000"/>
          <w:sz w:val="16"/>
          <w:szCs w:val="16"/>
        </w:rPr>
        <w:t xml:space="preserve">USP 42 – NF 37 - pág. 5554. </w:t>
      </w: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16"/>
        </w:rPr>
      </w:pP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b/>
          <w:bCs/>
          <w:color w:val="000000"/>
        </w:rPr>
        <w:t xml:space="preserve">8. </w:t>
      </w:r>
      <w:r w:rsidRPr="00E43A62">
        <w:rPr>
          <w:rFonts w:ascii="Arial" w:hAnsi="Arial" w:cs="Arial"/>
          <w:color w:val="000000"/>
        </w:rPr>
        <w:t xml:space="preserve">TEOR: </w:t>
      </w:r>
      <w:r w:rsidRPr="00FA08E6">
        <w:rPr>
          <w:rFonts w:ascii="Arial" w:hAnsi="Arial" w:cs="Arial"/>
          <w:bCs/>
          <w:color w:val="000000"/>
        </w:rPr>
        <w:t xml:space="preserve">Mínimo 99,0% (na base anidra). </w:t>
      </w:r>
    </w:p>
    <w:p w:rsidR="001E359D" w:rsidRDefault="001E359D" w:rsidP="001E359D">
      <w:pPr>
        <w:rPr>
          <w:rFonts w:ascii="Arial" w:hAnsi="Arial" w:cs="Arial"/>
          <w:i/>
          <w:iCs/>
          <w:color w:val="000000"/>
          <w:sz w:val="16"/>
          <w:szCs w:val="16"/>
        </w:rPr>
      </w:pPr>
      <w:r w:rsidRPr="00E43A62">
        <w:rPr>
          <w:rFonts w:ascii="Arial" w:hAnsi="Arial" w:cs="Arial"/>
          <w:i/>
          <w:iCs/>
          <w:color w:val="000000"/>
          <w:sz w:val="16"/>
          <w:szCs w:val="16"/>
        </w:rPr>
        <w:t>USP 42 – NF 37 - pág. 5554.</w:t>
      </w:r>
    </w:p>
    <w:p w:rsidR="001E359D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</w:rPr>
      </w:pP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b/>
          <w:bCs/>
          <w:color w:val="000000"/>
        </w:rPr>
        <w:t xml:space="preserve">VI - CONDIÇÕES GERAIS </w:t>
      </w:r>
    </w:p>
    <w:p w:rsidR="001E359D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b/>
          <w:bCs/>
          <w:color w:val="000000"/>
        </w:rPr>
        <w:t xml:space="preserve">EMBALAGEM: </w:t>
      </w:r>
      <w:r w:rsidRPr="00E43A62">
        <w:rPr>
          <w:rFonts w:ascii="Arial" w:hAnsi="Arial" w:cs="Arial"/>
          <w:color w:val="000000"/>
        </w:rPr>
        <w:t xml:space="preserve">As embalagens contendo o material, devem ser originais do fabricante e estar em perfeito estado de integridade, limpas, rotuladas e lacradas e/ou invioláveis (lacre de segurança original do fabricante). </w:t>
      </w: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b/>
          <w:bCs/>
          <w:color w:val="000000"/>
        </w:rPr>
        <w:t>ROTULAGEM</w:t>
      </w:r>
      <w:r w:rsidRPr="00E43A62">
        <w:rPr>
          <w:rFonts w:ascii="Arial" w:hAnsi="Arial" w:cs="Arial"/>
          <w:color w:val="000000"/>
        </w:rPr>
        <w:t xml:space="preserve">: Todas as embalagens do material devem conter os seguintes itens: </w:t>
      </w: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color w:val="000000"/>
        </w:rPr>
        <w:t xml:space="preserve">a) Nome do material; </w:t>
      </w: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color w:val="000000"/>
        </w:rPr>
        <w:t xml:space="preserve">b) Número do lote do fabricante; </w:t>
      </w: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color w:val="000000"/>
        </w:rPr>
        <w:t xml:space="preserve">c) Nome e endereço do fabricante; </w:t>
      </w: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color w:val="000000"/>
        </w:rPr>
        <w:t xml:space="preserve">d) Data de fabricação, data de reteste ou data de validade do fabricante; </w:t>
      </w: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color w:val="000000"/>
        </w:rPr>
        <w:lastRenderedPageBreak/>
        <w:t xml:space="preserve">e) Quantidade e unidade de medida por volume; </w:t>
      </w: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color w:val="000000"/>
        </w:rPr>
        <w:t xml:space="preserve">f) Condições de armazenamento; </w:t>
      </w: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color w:val="000000"/>
        </w:rPr>
        <w:t xml:space="preserve">g) Advertências, quando aplicável; </w:t>
      </w: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color w:val="000000"/>
        </w:rPr>
        <w:t xml:space="preserve">h) Nome do fornecedor e número do lote atribuído pelo fornecedor, quando aplicável. </w:t>
      </w:r>
    </w:p>
    <w:p w:rsidR="001E359D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</w:rPr>
      </w:pP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b/>
          <w:bCs/>
          <w:color w:val="000000"/>
        </w:rPr>
        <w:t xml:space="preserve">LAUDO ANALÍTICO: </w:t>
      </w:r>
      <w:r w:rsidRPr="00E43A62">
        <w:rPr>
          <w:rFonts w:ascii="Arial" w:hAnsi="Arial" w:cs="Arial"/>
          <w:color w:val="000000"/>
        </w:rPr>
        <w:t xml:space="preserve">Todo material deverá vir acompanhado do Laudo Analítico do Fabricante, contendo as seguintes informações: </w:t>
      </w: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color w:val="000000"/>
        </w:rPr>
        <w:t xml:space="preserve">a) Nome do material; </w:t>
      </w: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color w:val="000000"/>
        </w:rPr>
        <w:t xml:space="preserve">b) Número do lote do fabricante; </w:t>
      </w: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color w:val="000000"/>
        </w:rPr>
        <w:t xml:space="preserve">c) Identificação do fabricante; </w:t>
      </w: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color w:val="000000"/>
        </w:rPr>
        <w:t xml:space="preserve">d) Data de fabricação, data de reteste ou data de validade do fabricante; </w:t>
      </w: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color w:val="000000"/>
        </w:rPr>
        <w:t xml:space="preserve">e) Cada teste executado, incluindo os limites de aceitação e os resultados obtidos, e referência da metodologia analítica utilizada; </w:t>
      </w: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color w:val="000000"/>
        </w:rPr>
        <w:t xml:space="preserve">f) Data de emissão do laudo analítico, identificação e assinatura por pessoa autorizada da unidade da qualidade; </w:t>
      </w:r>
    </w:p>
    <w:p w:rsidR="001E359D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</w:rPr>
      </w:pP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b/>
          <w:bCs/>
          <w:color w:val="000000"/>
        </w:rPr>
        <w:t xml:space="preserve">TRANSPORTE: </w:t>
      </w:r>
      <w:r w:rsidRPr="00E43A62">
        <w:rPr>
          <w:rFonts w:ascii="Arial" w:hAnsi="Arial" w:cs="Arial"/>
          <w:color w:val="000000"/>
        </w:rPr>
        <w:t xml:space="preserve">O material deve ser transportado sobre palhetes em veículos com finalidade específica para materiais farmacêuticos, </w:t>
      </w:r>
      <w:r w:rsidRPr="00E43A62">
        <w:rPr>
          <w:rFonts w:ascii="Arial" w:hAnsi="Arial" w:cs="Arial"/>
          <w:b/>
          <w:bCs/>
          <w:color w:val="000000"/>
        </w:rPr>
        <w:t xml:space="preserve">não </w:t>
      </w:r>
      <w:r w:rsidRPr="00E43A62">
        <w:rPr>
          <w:rFonts w:ascii="Arial" w:hAnsi="Arial" w:cs="Arial"/>
          <w:color w:val="000000"/>
        </w:rPr>
        <w:t xml:space="preserve">devendo ser carregados em veículos que se destinam, originalmente, ao transporte de alimentos, produtos de higiene e cosméticos, saneantes domissanitários, máquinas/equipamentos e outros materiais não compatíveis com a carga. A caçamba do mesmo deve ser totalmente fechada e apresentar perfeitas condições de higiene. </w:t>
      </w:r>
    </w:p>
    <w:p w:rsidR="001E359D" w:rsidRPr="00E43A62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E43A62">
        <w:rPr>
          <w:rFonts w:ascii="Arial" w:hAnsi="Arial" w:cs="Arial"/>
          <w:color w:val="000000"/>
        </w:rPr>
        <w:t xml:space="preserve">Os materiais deverão ser transportados e entregues devidamente acondicionados na temperatura exigida por seu fabricante, sob pena de devolução dos mesmos e substituição por outro lote, diferente do apresentado inicialmente. </w:t>
      </w:r>
    </w:p>
    <w:p w:rsidR="001E359D" w:rsidRDefault="001E359D" w:rsidP="001E359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</w:rPr>
      </w:pPr>
    </w:p>
    <w:p w:rsidR="001E359D" w:rsidRDefault="001E359D" w:rsidP="001E35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43A62">
        <w:rPr>
          <w:rFonts w:ascii="Arial" w:hAnsi="Arial" w:cs="Arial"/>
          <w:b/>
          <w:bCs/>
          <w:color w:val="000000"/>
        </w:rPr>
        <w:t xml:space="preserve">PRAZO DE VALIDADE: </w:t>
      </w:r>
      <w:r w:rsidRPr="00E43A62">
        <w:rPr>
          <w:rFonts w:ascii="Arial" w:hAnsi="Arial" w:cs="Arial"/>
          <w:color w:val="000000"/>
        </w:rPr>
        <w:t>Deve ser no mínimo, 70% do prazo original do fabricante.</w:t>
      </w:r>
    </w:p>
    <w:p w:rsidR="001E359D" w:rsidRDefault="001E359D" w:rsidP="001E35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7AD6" w:rsidRDefault="00337AD6">
      <w:bookmarkStart w:id="0" w:name="_GoBack"/>
      <w:bookmarkEnd w:id="0"/>
    </w:p>
    <w:sectPr w:rsidR="00337A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9D"/>
    <w:rsid w:val="001E359D"/>
    <w:rsid w:val="003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0B724-7128-49F9-AE11-CCCFC883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59D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Claudio da Conceicao Vieira</dc:creator>
  <cp:keywords/>
  <dc:description/>
  <cp:lastModifiedBy>Luiz Claudio da Conceicao Vieira</cp:lastModifiedBy>
  <cp:revision>1</cp:revision>
  <dcterms:created xsi:type="dcterms:W3CDTF">2020-08-25T17:56:00Z</dcterms:created>
  <dcterms:modified xsi:type="dcterms:W3CDTF">2020-08-25T17:56:00Z</dcterms:modified>
</cp:coreProperties>
</file>